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AA6A" w14:textId="77777777" w:rsidR="0079675F" w:rsidRDefault="0079675F" w:rsidP="0079675F">
      <w:pPr>
        <w:pStyle w:val="IntenseQuote"/>
        <w:rPr>
          <w:lang w:val="en-US"/>
        </w:rPr>
      </w:pPr>
      <w:r>
        <w:rPr>
          <w:lang w:val="en-US"/>
        </w:rPr>
        <w:t xml:space="preserve">Guideline 1: In Aotearoa, the housing system must be explicitly based on values, the international right to a decent home,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o Waitangi and evidence of what works.</w:t>
      </w:r>
    </w:p>
    <w:p w14:paraId="06A21EE4" w14:textId="77777777" w:rsidR="0079675F" w:rsidRDefault="0079675F" w:rsidP="0079675F">
      <w:pPr>
        <w:pStyle w:val="IntenseQuote"/>
        <w:rPr>
          <w:lang w:val="en-US"/>
        </w:rPr>
      </w:pPr>
      <w:r>
        <w:rPr>
          <w:lang w:val="en-US"/>
        </w:rPr>
        <w:t xml:space="preserve">Guideline 2: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, the international right to a decent home is more than a right to shelter, bricks, </w:t>
      </w:r>
      <w:proofErr w:type="gramStart"/>
      <w:r>
        <w:rPr>
          <w:lang w:val="en-US"/>
        </w:rPr>
        <w:t>mortar</w:t>
      </w:r>
      <w:proofErr w:type="gramEnd"/>
      <w:r>
        <w:rPr>
          <w:lang w:val="en-US"/>
        </w:rPr>
        <w:t xml:space="preserve"> or a house. It is the human right to a warm, dry, safe, accessible, healthy, decent home, as understood by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r>
        <w:rPr>
          <w:rFonts w:eastAsiaTheme="minorEastAsia" w:cstheme="minorHAnsi"/>
          <w:szCs w:val="24"/>
          <w:lang w:val="en-US"/>
        </w:rPr>
        <w:t>Māori</w:t>
      </w:r>
      <w:r>
        <w:rPr>
          <w:lang w:val="en-US"/>
        </w:rPr>
        <w:t>. By way of shorthand, these Guidelines refer to the ‘right to a decent home’.</w:t>
      </w:r>
      <w:r w:rsidRPr="0079675F">
        <w:rPr>
          <w:lang w:val="en-US"/>
        </w:rPr>
        <w:t xml:space="preserve"> </w:t>
      </w:r>
    </w:p>
    <w:p w14:paraId="693DE3D4" w14:textId="2ACC9CA5" w:rsidR="0079675F" w:rsidRDefault="0079675F" w:rsidP="0079675F">
      <w:pPr>
        <w:pStyle w:val="IntenseQuote"/>
        <w:rPr>
          <w:lang w:val="en-US"/>
        </w:rPr>
      </w:pPr>
      <w:r>
        <w:rPr>
          <w:lang w:val="en-US"/>
        </w:rPr>
        <w:t xml:space="preserve">Guideline 3: Agreed by successive New Zealand governments, the right to a decent home is ethically compelling </w:t>
      </w:r>
      <w:r>
        <w:t>and</w:t>
      </w:r>
      <w:r>
        <w:rPr>
          <w:lang w:val="en-US"/>
        </w:rPr>
        <w:t xml:space="preserve"> binding on New Zealand in international law. This human right does not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one </w:t>
      </w:r>
      <w:proofErr w:type="gramStart"/>
      <w:r>
        <w:rPr>
          <w:lang w:val="en-US"/>
        </w:rPr>
        <w:t>particular socio-economic</w:t>
      </w:r>
      <w:proofErr w:type="gramEnd"/>
      <w:r>
        <w:rPr>
          <w:lang w:val="en-US"/>
        </w:rPr>
        <w:t xml:space="preserve"> system, but it requires that the selected system is consistent with human rights and democratic principles, enhances enjoyment of the right to a decent home, and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.  </w:t>
      </w:r>
    </w:p>
    <w:p w14:paraId="667AA737" w14:textId="77777777" w:rsidR="0079675F" w:rsidRDefault="0079675F" w:rsidP="0079675F">
      <w:pPr>
        <w:pStyle w:val="IntenseQuote"/>
        <w:rPr>
          <w:lang w:val="en-US"/>
        </w:rPr>
      </w:pPr>
      <w:bookmarkStart w:id="0" w:name="_Hlk51058589"/>
      <w:r>
        <w:rPr>
          <w:lang w:val="en-US"/>
        </w:rPr>
        <w:t xml:space="preserve">Guideline 4: The international right to a decent home must be located and applied within the unique historical, demographic, economic, social, </w:t>
      </w:r>
      <w:proofErr w:type="gramStart"/>
      <w:r>
        <w:rPr>
          <w:lang w:val="en-US"/>
        </w:rPr>
        <w:t>cultural</w:t>
      </w:r>
      <w:proofErr w:type="gramEnd"/>
      <w:r>
        <w:rPr>
          <w:lang w:val="en-US"/>
        </w:rPr>
        <w:t xml:space="preserve"> and legal context of Aotearoa. </w:t>
      </w:r>
      <w:bookmarkEnd w:id="0"/>
    </w:p>
    <w:p w14:paraId="23158907" w14:textId="77777777" w:rsidR="0079675F" w:rsidRDefault="0079675F" w:rsidP="0079675F">
      <w:pPr>
        <w:pStyle w:val="IntenseQuote"/>
        <w:rPr>
          <w:lang w:val="en-US"/>
        </w:rPr>
      </w:pPr>
      <w:bookmarkStart w:id="1" w:name="_Hlk51058600"/>
      <w:r>
        <w:rPr>
          <w:lang w:val="en-US"/>
        </w:rPr>
        <w:t xml:space="preserve">Guideline 5: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and the right to a decent home </w:t>
      </w:r>
      <w:r>
        <w:rPr>
          <w:rFonts w:eastAsiaTheme="minorEastAsia" w:cstheme="minorHAnsi"/>
          <w:szCs w:val="24"/>
          <w:lang w:val="en-US"/>
        </w:rPr>
        <w:t xml:space="preserve">not only place obligations on national and local government, </w:t>
      </w:r>
      <w:proofErr w:type="gramStart"/>
      <w:r>
        <w:rPr>
          <w:rFonts w:eastAsiaTheme="minorEastAsia" w:cstheme="minorHAnsi"/>
          <w:szCs w:val="24"/>
          <w:lang w:val="en-US"/>
        </w:rPr>
        <w:t>they</w:t>
      </w:r>
      <w:proofErr w:type="gramEnd"/>
      <w:r>
        <w:rPr>
          <w:rFonts w:eastAsiaTheme="minorEastAsia" w:cstheme="minorHAnsi"/>
          <w:szCs w:val="24"/>
          <w:lang w:val="en-US"/>
        </w:rPr>
        <w:t xml:space="preserve"> also place responsibilities on others, including the private sector, landlords and tenants.</w:t>
      </w:r>
      <w:bookmarkEnd w:id="1"/>
    </w:p>
    <w:p w14:paraId="400D19B2" w14:textId="77777777" w:rsidR="0079675F" w:rsidRDefault="0079675F" w:rsidP="0079675F">
      <w:pPr>
        <w:pStyle w:val="IntenseQuote"/>
        <w:rPr>
          <w:lang w:val="en-US"/>
        </w:rPr>
      </w:pPr>
      <w:bookmarkStart w:id="2" w:name="_Hlk51058612"/>
      <w:r>
        <w:rPr>
          <w:lang w:val="en-US"/>
        </w:rPr>
        <w:t xml:space="preserve">Guideline 6: Use the right to a decent home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to: empower </w:t>
      </w:r>
      <w:r>
        <w:rPr>
          <w:rFonts w:eastAsiaTheme="minorEastAsia" w:cstheme="minorHAnsi"/>
          <w:szCs w:val="24"/>
          <w:lang w:val="en-US"/>
        </w:rPr>
        <w:t xml:space="preserve">individuals, hapū, iwi and communities </w:t>
      </w:r>
      <w:r>
        <w:rPr>
          <w:lang w:val="en-US"/>
        </w:rPr>
        <w:t xml:space="preserve">in their engagement with government; help policy makers strengthen their housing initiatives; and help ensure that housing commitments are </w:t>
      </w:r>
      <w:proofErr w:type="spellStart"/>
      <w:r>
        <w:rPr>
          <w:lang w:val="en-US"/>
        </w:rPr>
        <w:t>honoured</w:t>
      </w:r>
      <w:proofErr w:type="spellEnd"/>
      <w:r>
        <w:rPr>
          <w:lang w:val="en-US"/>
        </w:rPr>
        <w:t>.</w:t>
      </w:r>
      <w:bookmarkEnd w:id="2"/>
    </w:p>
    <w:p w14:paraId="5BE7A6A2" w14:textId="77777777" w:rsidR="0079675F" w:rsidRDefault="0079675F" w:rsidP="0079675F">
      <w:pPr>
        <w:pStyle w:val="IntenseQuote"/>
        <w:rPr>
          <w:lang w:val="en-US"/>
        </w:rPr>
      </w:pPr>
      <w:bookmarkStart w:id="3" w:name="_Hlk51058625"/>
      <w:r>
        <w:rPr>
          <w:lang w:val="en-US"/>
        </w:rPr>
        <w:t xml:space="preserve">Guideline 7: Use the right to a decent home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as a framework on which everyone who is committed to tackling the housing crisis can build.</w:t>
      </w:r>
      <w:bookmarkEnd w:id="3"/>
    </w:p>
    <w:p w14:paraId="42E5964A" w14:textId="77777777" w:rsidR="0079675F" w:rsidRDefault="0079675F" w:rsidP="0079675F">
      <w:pPr>
        <w:pStyle w:val="IntenseQuote"/>
        <w:rPr>
          <w:rFonts w:eastAsiaTheme="minorEastAsia"/>
        </w:rPr>
      </w:pPr>
      <w:bookmarkStart w:id="4" w:name="_Hlk51058680"/>
      <w:r>
        <w:t xml:space="preserve">Guideline 8: The right to a decent home grounded on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requires acknowledging and addressing the impacts of colonisation, systematic dispossession of </w:t>
      </w:r>
      <w:r>
        <w:rPr>
          <w:rFonts w:eastAsiaTheme="minorEastAsia" w:cstheme="minorHAnsi"/>
          <w:szCs w:val="24"/>
          <w:lang w:val="en-US"/>
        </w:rPr>
        <w:t xml:space="preserve">Māori </w:t>
      </w:r>
      <w:r>
        <w:t xml:space="preserve">from their land, and destruction of their traditional ways of living, including communal land ownership.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 and the United Nations Declaration on the Rights of Indigenous Peoples have a critically important role to play in advancing the right to a decent home in Aotearoa</w:t>
      </w:r>
      <w:r>
        <w:rPr>
          <w:rFonts w:eastAsiaTheme="minorEastAsia"/>
        </w:rPr>
        <w:t>.</w:t>
      </w:r>
      <w:bookmarkEnd w:id="4"/>
    </w:p>
    <w:p w14:paraId="03064946" w14:textId="77777777" w:rsidR="0079675F" w:rsidRDefault="0079675F" w:rsidP="0079675F">
      <w:pPr>
        <w:pStyle w:val="IntenseQuote"/>
        <w:rPr>
          <w:rFonts w:eastAsiaTheme="minorEastAsia" w:cstheme="minorHAnsi"/>
          <w:b/>
          <w:bCs/>
          <w:i w:val="0"/>
          <w:iCs w:val="0"/>
          <w:szCs w:val="24"/>
          <w:lang w:val="en-US"/>
        </w:rPr>
      </w:pPr>
      <w:bookmarkStart w:id="5" w:name="_Hlk51058689"/>
      <w:r>
        <w:rPr>
          <w:rStyle w:val="IntenseQuoteChar"/>
        </w:rPr>
        <w:t xml:space="preserve">Guideline 9: Values, such as whanaungatanga (kinship), </w:t>
      </w:r>
      <w:proofErr w:type="spellStart"/>
      <w:r>
        <w:rPr>
          <w:rStyle w:val="IntenseQuoteChar"/>
        </w:rPr>
        <w:t>kaitiakitanga</w:t>
      </w:r>
      <w:proofErr w:type="spellEnd"/>
      <w:r>
        <w:rPr>
          <w:rStyle w:val="IntenseQuoteChar"/>
        </w:rPr>
        <w:t xml:space="preserve"> (stewardship), </w:t>
      </w:r>
      <w:proofErr w:type="spellStart"/>
      <w:r>
        <w:rPr>
          <w:rStyle w:val="IntenseQuoteChar"/>
        </w:rPr>
        <w:t>manaakitanga</w:t>
      </w:r>
      <w:proofErr w:type="spellEnd"/>
      <w:r>
        <w:rPr>
          <w:rStyle w:val="IntenseQuoteChar"/>
        </w:rPr>
        <w:t xml:space="preserve"> (respect), dignity, decency, fairness, equality, freedom, wellbeing, safety, participation, partnership, community and responsibility, are embodied in the right to a decent home. These values, and the right to a decent home grounded on </w:t>
      </w:r>
      <w:proofErr w:type="spellStart"/>
      <w:r>
        <w:rPr>
          <w:rStyle w:val="IntenseQuoteChar"/>
        </w:rPr>
        <w:t>Te</w:t>
      </w:r>
      <w:proofErr w:type="spellEnd"/>
      <w:r>
        <w:rPr>
          <w:rStyle w:val="IntenseQuoteChar"/>
        </w:rPr>
        <w:t xml:space="preserve"> </w:t>
      </w:r>
      <w:proofErr w:type="spellStart"/>
      <w:r>
        <w:rPr>
          <w:rStyle w:val="IntenseQuoteChar"/>
        </w:rPr>
        <w:t>Tiriti</w:t>
      </w:r>
      <w:proofErr w:type="spellEnd"/>
      <w:r>
        <w:rPr>
          <w:rStyle w:val="IntenseQuoteChar"/>
        </w:rPr>
        <w:t>, must lie at the centre of all housing-related initiatives in Aotearoa</w:t>
      </w:r>
      <w:r>
        <w:rPr>
          <w:rFonts w:eastAsiaTheme="minorEastAsia" w:cstheme="minorHAnsi"/>
          <w:b/>
          <w:bCs/>
          <w:i w:val="0"/>
          <w:iCs w:val="0"/>
          <w:szCs w:val="24"/>
        </w:rPr>
        <w:t>.</w:t>
      </w:r>
      <w:bookmarkEnd w:id="5"/>
    </w:p>
    <w:p w14:paraId="0A613730" w14:textId="77777777" w:rsidR="0079675F" w:rsidRDefault="0079675F" w:rsidP="0079675F">
      <w:pPr>
        <w:pStyle w:val="IntenseQuote"/>
        <w:rPr>
          <w:lang w:val="en-US"/>
        </w:rPr>
      </w:pPr>
      <w:bookmarkStart w:id="6" w:name="_Hlk49978464"/>
      <w:r>
        <w:rPr>
          <w:lang w:val="en-US"/>
        </w:rPr>
        <w:lastRenderedPageBreak/>
        <w:t xml:space="preserve">Guideline 10: All housing initiatives must comply with the seven UN ‘decency’ housing principles read with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o Waitangi: habitable; affordable; accessible for everyone; services, facilities and infrastructure; location; respect for cultural diversity; and security of tenure. If homes and housing initiatives do not comply with a ‘decency’ principle they are not complying with the right to a decent home, unless it can be shown that all reasonable steps have been taken to comply with the principle. (For more on ‘Obligations and Violations’, see section 4.)</w:t>
      </w:r>
      <w:bookmarkEnd w:id="6"/>
    </w:p>
    <w:p w14:paraId="435DEC49" w14:textId="77777777" w:rsidR="0079675F" w:rsidRDefault="0079675F" w:rsidP="0079675F">
      <w:pPr>
        <w:pStyle w:val="IntenseQuote"/>
        <w:rPr>
          <w:lang w:val="en-US"/>
        </w:rPr>
      </w:pPr>
      <w:bookmarkStart w:id="7" w:name="_Hlk51058739"/>
      <w:r>
        <w:rPr>
          <w:lang w:val="en-US"/>
        </w:rPr>
        <w:t xml:space="preserve">Guideline 11: Because the right to a decent home includes freedoms, all restrictive housing laws, regulations, </w:t>
      </w:r>
      <w:proofErr w:type="gramStart"/>
      <w:r>
        <w:rPr>
          <w:lang w:val="en-US"/>
        </w:rPr>
        <w:t>rules</w:t>
      </w:r>
      <w:proofErr w:type="gramEnd"/>
      <w:r>
        <w:rPr>
          <w:lang w:val="en-US"/>
        </w:rPr>
        <w:t xml:space="preserve"> and practices must be fair, reasonable, proportionate and culturally appropriate.</w:t>
      </w:r>
      <w:bookmarkEnd w:id="7"/>
    </w:p>
    <w:p w14:paraId="2802759C" w14:textId="77777777" w:rsidR="0079675F" w:rsidRDefault="0079675F" w:rsidP="0079675F">
      <w:pPr>
        <w:pStyle w:val="IntenseQuote"/>
      </w:pPr>
      <w:bookmarkStart w:id="8" w:name="_Hlk51058754"/>
      <w:r>
        <w:t xml:space="preserve">Guideline 12: A decent home must be accessible to everyone without discrimination on prohibited grounds, such as </w:t>
      </w:r>
      <w:r>
        <w:rPr>
          <w:rFonts w:eastAsiaTheme="minorEastAsia" w:cstheme="minorHAnsi"/>
          <w:szCs w:val="24"/>
          <w:lang w:val="en-US"/>
        </w:rPr>
        <w:t xml:space="preserve">disability, ethnicity, religion, age, </w:t>
      </w:r>
      <w:proofErr w:type="gramStart"/>
      <w:r>
        <w:rPr>
          <w:rFonts w:eastAsiaTheme="minorEastAsia" w:cstheme="minorHAnsi"/>
          <w:szCs w:val="24"/>
          <w:lang w:val="en-US"/>
        </w:rPr>
        <w:t>gender</w:t>
      </w:r>
      <w:proofErr w:type="gramEnd"/>
      <w:r>
        <w:rPr>
          <w:rFonts w:eastAsiaTheme="minorEastAsia" w:cstheme="minorHAnsi"/>
          <w:szCs w:val="24"/>
          <w:lang w:val="en-US"/>
        </w:rPr>
        <w:t xml:space="preserve"> or sexual orientation. Effective measures, designed to address the unfair disadvantage experienced by some individuals and communities, are required.</w:t>
      </w:r>
      <w:bookmarkEnd w:id="8"/>
    </w:p>
    <w:p w14:paraId="2A4F05CB" w14:textId="77777777" w:rsidR="0079675F" w:rsidRDefault="0079675F" w:rsidP="0079675F">
      <w:pPr>
        <w:pStyle w:val="IntenseQuote"/>
        <w:rPr>
          <w:lang w:val="en-US"/>
        </w:rPr>
      </w:pPr>
      <w:bookmarkStart w:id="9" w:name="_Hlk51058906"/>
      <w:r>
        <w:rPr>
          <w:lang w:val="en-US"/>
        </w:rPr>
        <w:t xml:space="preserve">Guideline 13: In accordance with international human rights treaties and declarations, ensure all individuals and communities have the opportunity for active and informed participation on housing issues that affect them. Additionally,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requires government to work in partnership, and share decision-making, with its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partners.</w:t>
      </w:r>
      <w:bookmarkEnd w:id="9"/>
    </w:p>
    <w:p w14:paraId="29ACC0F4" w14:textId="77777777" w:rsidR="0079675F" w:rsidRDefault="0079675F" w:rsidP="0079675F">
      <w:pPr>
        <w:pStyle w:val="IntenseQuote"/>
        <w:rPr>
          <w:lang w:val="en-US"/>
        </w:rPr>
      </w:pPr>
      <w:bookmarkStart w:id="10" w:name="_Hlk51058916"/>
      <w:r>
        <w:rPr>
          <w:lang w:val="en-US"/>
        </w:rPr>
        <w:t xml:space="preserve">Guideline 14: National and local government must have an overarching housing strategy. The housing strategy must be based on human rights and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. The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and human rights-based housing strategy must have the right to a decent home at its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.</w:t>
      </w:r>
      <w:bookmarkEnd w:id="10"/>
    </w:p>
    <w:p w14:paraId="5500D82B" w14:textId="77777777" w:rsidR="0079675F" w:rsidRDefault="0079675F" w:rsidP="0079675F">
      <w:pPr>
        <w:pStyle w:val="IntenseQuote"/>
      </w:pPr>
      <w:bookmarkStart w:id="11" w:name="_Hlk51058927"/>
      <w:r>
        <w:t xml:space="preserve">Guideline 15: All significant housing initiatives must be subject to constructive accountability i.e. initiatives must be assessed against the human right to a decent home grounded on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. The review element of accountability should be carried out by a political body, such as parliament </w:t>
      </w:r>
      <w:bookmarkStart w:id="12" w:name="_Hlk51058961"/>
      <w:bookmarkEnd w:id="11"/>
      <w:r>
        <w:t>or a local council, together with one or more independent bodies, such as integrity agencies.</w:t>
      </w:r>
      <w:bookmarkEnd w:id="12"/>
    </w:p>
    <w:p w14:paraId="68A2FEE0" w14:textId="77777777" w:rsidR="0079675F" w:rsidRDefault="0079675F" w:rsidP="0079675F">
      <w:pPr>
        <w:pStyle w:val="IntenseQuote"/>
      </w:pPr>
      <w:bookmarkStart w:id="13" w:name="_Hlk51058938"/>
      <w:r>
        <w:t xml:space="preserve">Guideline 16: If the government’s aid programme includes housing initiatives, it has a responsibility to ensure the initiatives are consistent with the right to a decent home and, where the recipient country has indigenous peoples, the United Nations Declaration on the Rights of Indigenous Peoples. </w:t>
      </w:r>
      <w:bookmarkEnd w:id="13"/>
    </w:p>
    <w:p w14:paraId="60B8DD2E" w14:textId="77777777" w:rsidR="0079675F" w:rsidRDefault="0079675F" w:rsidP="0079675F">
      <w:pPr>
        <w:pStyle w:val="IntenseQuote"/>
      </w:pPr>
      <w:bookmarkStart w:id="14" w:name="_Hlk51058979"/>
      <w:r>
        <w:t xml:space="preserve">Guideline 17: </w:t>
      </w:r>
      <w:r>
        <w:rPr>
          <w:rFonts w:eastAsiaTheme="minorEastAsia" w:cstheme="minorHAnsi"/>
          <w:szCs w:val="24"/>
        </w:rPr>
        <w:t xml:space="preserve">Despite progressive realisation and resource availability, the right to a decent home grounded on </w:t>
      </w:r>
      <w:proofErr w:type="spellStart"/>
      <w:r>
        <w:rPr>
          <w:rFonts w:eastAsiaTheme="minorEastAsia" w:cstheme="minorHAnsi"/>
          <w:szCs w:val="24"/>
        </w:rPr>
        <w:t>Te</w:t>
      </w:r>
      <w:proofErr w:type="spellEnd"/>
      <w:r>
        <w:rPr>
          <w:rFonts w:eastAsiaTheme="minorEastAsia" w:cstheme="minorHAnsi"/>
          <w:szCs w:val="24"/>
        </w:rPr>
        <w:t xml:space="preserve"> </w:t>
      </w:r>
      <w:proofErr w:type="spellStart"/>
      <w:r>
        <w:rPr>
          <w:rFonts w:eastAsiaTheme="minorEastAsia" w:cstheme="minorHAnsi"/>
          <w:szCs w:val="24"/>
        </w:rPr>
        <w:t>Tiriti</w:t>
      </w:r>
      <w:proofErr w:type="spellEnd"/>
      <w:r>
        <w:rPr>
          <w:rFonts w:eastAsiaTheme="minorEastAsia" w:cstheme="minorHAnsi"/>
          <w:szCs w:val="24"/>
        </w:rPr>
        <w:t xml:space="preserve"> places measurable obligations on government. </w:t>
      </w:r>
      <w:r>
        <w:t xml:space="preserve">Full implementation of the right to a decent home may be progressively realised over time. But national and local government must take deliberate, </w:t>
      </w:r>
      <w:proofErr w:type="gramStart"/>
      <w:r>
        <w:t>concrete</w:t>
      </w:r>
      <w:proofErr w:type="gramEnd"/>
      <w:r>
        <w:t xml:space="preserve"> and targeted steps towards realisation of the right to a decent home. Government has a specific and continuing obligation to move as expeditiously and effectively as possible towards the human right’s </w:t>
      </w:r>
      <w:r>
        <w:lastRenderedPageBreak/>
        <w:t xml:space="preserve">full implementation. Progress (or otherwise) must be tracked by suitable indicators and benchmarks. Attention should be given to identifying the core or immediate obligations of the right to a decent home in Aotearoa i.e. obligations that are not subject to progressive realisation. When prioritising in relation to the right to a decent home, certain conditions apply, such as consideration of colonisation and its continuing impacts,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and the most disadvantaged individuals and communities, including those living in poverty.</w:t>
      </w:r>
      <w:bookmarkEnd w:id="14"/>
    </w:p>
    <w:p w14:paraId="01FCC9FF" w14:textId="77777777" w:rsidR="0079675F" w:rsidRDefault="0079675F" w:rsidP="0079675F">
      <w:pPr>
        <w:pStyle w:val="IntenseQuote"/>
      </w:pPr>
      <w:bookmarkStart w:id="15" w:name="_Hlk51058991"/>
      <w:r>
        <w:rPr>
          <w:lang w:val="en-US"/>
        </w:rPr>
        <w:t xml:space="preserve">Guideline 18: National and local government have obligations arising from the right to a decent home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. These are obligations to respect, protect and fulfil the right to a decent home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. The obligation to respect places a responsibility on the government to refrain from interfering directly or indirectly with the enjoyment of the right to a decent home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. The obligation to protect means that the government must prevent third parties, such as private landlords, from interfering with the enjoyment of the right to a decent home grounded on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. The obligation to fulfil requires the government to adopt all appropriate measures, including </w:t>
      </w:r>
      <w:r>
        <w:t xml:space="preserve">legislative, </w:t>
      </w:r>
      <w:proofErr w:type="gramStart"/>
      <w:r>
        <w:t>administrative</w:t>
      </w:r>
      <w:proofErr w:type="gramEnd"/>
      <w:r>
        <w:t xml:space="preserve"> and budgetary, to ensure the full realisation of the right to a decent home grounded on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. Breaches of these obligations may give rise to violations of the right to a decent home grounded on </w:t>
      </w:r>
      <w:proofErr w:type="spellStart"/>
      <w:r>
        <w:t>Tiriti</w:t>
      </w:r>
      <w:proofErr w:type="spellEnd"/>
      <w:r>
        <w:t>.</w:t>
      </w:r>
      <w:bookmarkEnd w:id="15"/>
    </w:p>
    <w:p w14:paraId="31287C30" w14:textId="77777777" w:rsidR="0079675F" w:rsidRDefault="0079675F" w:rsidP="0079675F">
      <w:pPr>
        <w:pStyle w:val="IntenseQuote"/>
      </w:pPr>
      <w:bookmarkStart w:id="16" w:name="_Hlk51059003"/>
      <w:r>
        <w:t xml:space="preserve">Guideline 19: </w:t>
      </w:r>
      <w:r>
        <w:rPr>
          <w:lang w:val="en-US"/>
        </w:rPr>
        <w:t xml:space="preserve">The United Nations confirms that the private sector has </w:t>
      </w:r>
      <w:r>
        <w:rPr>
          <w:rFonts w:eastAsiaTheme="minorEastAsia"/>
          <w:lang w:val="en-US"/>
        </w:rPr>
        <w:t xml:space="preserve">obligations arising from the right to a decent home. </w:t>
      </w:r>
      <w:r>
        <w:t xml:space="preserve">Further attention should be given to (a) clarifying the responsibilities of the private sector in relation to the right to a decent home grounded on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and (b) identifying suitable constructive accountability arrangements in relation to these private sector responsibilities.</w:t>
      </w:r>
      <w:bookmarkEnd w:id="16"/>
    </w:p>
    <w:p w14:paraId="581EDCDD" w14:textId="77777777" w:rsidR="0079675F" w:rsidRDefault="0079675F" w:rsidP="0079675F">
      <w:pPr>
        <w:pStyle w:val="IntenseQuote"/>
        <w:rPr>
          <w:lang w:val="en-US"/>
        </w:rPr>
      </w:pPr>
      <w:r>
        <w:rPr>
          <w:lang w:val="en-US"/>
        </w:rPr>
        <w:t xml:space="preserve">Guideline 20: </w:t>
      </w:r>
      <w:r>
        <w:rPr>
          <w:rFonts w:eastAsiaTheme="minorEastAsia"/>
          <w:lang w:val="en-US"/>
        </w:rPr>
        <w:t xml:space="preserve">These Guidelines are a step towards a better understanding of the right to a decent home grounded on </w:t>
      </w:r>
      <w:proofErr w:type="spellStart"/>
      <w:r>
        <w:rPr>
          <w:rFonts w:eastAsiaTheme="minorEastAsia"/>
          <w:lang w:val="en-US"/>
        </w:rPr>
        <w:t>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Tiriti</w:t>
      </w:r>
      <w:proofErr w:type="spellEnd"/>
      <w:r>
        <w:rPr>
          <w:rFonts w:eastAsiaTheme="minorEastAsia"/>
          <w:lang w:val="en-US"/>
        </w:rPr>
        <w:t xml:space="preserve">. They provide a framework on which we can all build. All stakeholders are encouraged to develop and apply the framework with a view to enhancing the right to a decent home grounded on </w:t>
      </w:r>
      <w:proofErr w:type="spellStart"/>
      <w:r>
        <w:rPr>
          <w:rFonts w:eastAsiaTheme="minorEastAsia"/>
          <w:lang w:val="en-US"/>
        </w:rPr>
        <w:t>Te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Tiriti</w:t>
      </w:r>
      <w:proofErr w:type="spellEnd"/>
      <w:r>
        <w:rPr>
          <w:rFonts w:eastAsiaTheme="minorEastAsia"/>
          <w:lang w:val="en-US"/>
        </w:rPr>
        <w:t xml:space="preserve"> for everyone in Aotearoa.</w:t>
      </w:r>
    </w:p>
    <w:p w14:paraId="26A7A97B" w14:textId="065A20F3" w:rsidR="0079675F" w:rsidRDefault="0079675F" w:rsidP="0079675F">
      <w:pPr>
        <w:pStyle w:val="IntenseQuote"/>
        <w:rPr>
          <w:lang w:val="en-US"/>
        </w:rPr>
      </w:pPr>
    </w:p>
    <w:p w14:paraId="56751996" w14:textId="77777777" w:rsidR="00B00F6B" w:rsidRDefault="00B00F6B"/>
    <w:sectPr w:rsidR="00B0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5F"/>
    <w:rsid w:val="0079675F"/>
    <w:rsid w:val="00B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5CF8B"/>
  <w15:chartTrackingRefBased/>
  <w15:docId w15:val="{647E07BB-0BB6-418A-B77F-0EFB2506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7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right="95"/>
    </w:pPr>
    <w:rPr>
      <w:i/>
      <w:iCs/>
      <w:color w:val="000000" w:themeColor="tex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75F"/>
    <w:rPr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931FB48FFE468A286F6EFFCD6524" ma:contentTypeVersion="10" ma:contentTypeDescription="Create a new document." ma:contentTypeScope="" ma:versionID="053f54f75137c47ce189c38f3702ec2a">
  <xsd:schema xmlns:xsd="http://www.w3.org/2001/XMLSchema" xmlns:xs="http://www.w3.org/2001/XMLSchema" xmlns:p="http://schemas.microsoft.com/office/2006/metadata/properties" xmlns:ns2="a6165b56-1241-404f-a687-251c6a44da64" targetNamespace="http://schemas.microsoft.com/office/2006/metadata/properties" ma:root="true" ma:fieldsID="2c1adebfbef3719fb5212c9abff641d1" ns2:_="">
    <xsd:import namespace="a6165b56-1241-404f-a687-251c6a44d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65b56-1241-404f-a687-251c6a44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43CF9-8871-4F0C-B0A0-04FF9F15A334}"/>
</file>

<file path=customXml/itemProps2.xml><?xml version="1.0" encoding="utf-8"?>
<ds:datastoreItem xmlns:ds="http://schemas.openxmlformats.org/officeDocument/2006/customXml" ds:itemID="{FCA70CD2-E525-49A5-8A50-9E987C49B527}"/>
</file>

<file path=customXml/itemProps3.xml><?xml version="1.0" encoding="utf-8"?>
<ds:datastoreItem xmlns:ds="http://schemas.openxmlformats.org/officeDocument/2006/customXml" ds:itemID="{5D16FCBC-FDC5-40CB-B0DB-242C8B708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Arthur</dc:creator>
  <cp:keywords/>
  <dc:description/>
  <cp:lastModifiedBy>Penny Arthur</cp:lastModifiedBy>
  <cp:revision>1</cp:revision>
  <dcterms:created xsi:type="dcterms:W3CDTF">2020-11-24T02:10:00Z</dcterms:created>
  <dcterms:modified xsi:type="dcterms:W3CDTF">2020-11-24T02:16:00Z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0x010100F5C9931FB48FFE468A286F6EFFCD6524</vt:lpwstr>
  </property>
</Properties>
</file>